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4"/>
        <w:tblW w:w="15583" w:type="dxa"/>
        <w:tblInd w:w="0" w:type="dxa"/>
        <w:tblLayout w:type="fixed"/>
        <w:tblCellMar>
          <w:right w:w="152" w:type="dxa"/>
        </w:tblCellMar>
        <w:tblLook w:val="04A0" w:firstRow="1" w:lastRow="0" w:firstColumn="1" w:lastColumn="0" w:noHBand="0" w:noVBand="1"/>
      </w:tblPr>
      <w:tblGrid>
        <w:gridCol w:w="12856"/>
        <w:gridCol w:w="2727"/>
      </w:tblGrid>
      <w:tr w:rsidR="00644402" w:rsidRPr="00644402" w:rsidTr="00AB0E0E">
        <w:trPr>
          <w:trHeight w:val="891"/>
        </w:trPr>
        <w:tc>
          <w:tcPr>
            <w:tcW w:w="12856" w:type="dxa"/>
            <w:tcBorders>
              <w:top w:val="single" w:sz="6" w:space="0" w:color="000000"/>
              <w:left w:val="single" w:sz="8" w:space="0" w:color="000000"/>
              <w:bottom w:val="single" w:sz="6" w:space="0" w:color="000000"/>
              <w:right w:val="nil"/>
            </w:tcBorders>
            <w:shd w:val="clear" w:color="auto" w:fill="A4C2F4"/>
            <w:vAlign w:val="center"/>
          </w:tcPr>
          <w:p w:rsidR="00644402" w:rsidRPr="00644402" w:rsidRDefault="00644402" w:rsidP="00644402">
            <w:pPr>
              <w:rPr>
                <w:rFonts w:eastAsiaTheme="minorHAnsi"/>
                <w:lang w:eastAsia="en-US"/>
              </w:rPr>
            </w:pPr>
            <w:bookmarkStart w:id="0" w:name="_GoBack"/>
            <w:bookmarkEnd w:id="0"/>
            <w:r w:rsidRPr="00644402">
              <w:rPr>
                <w:rFonts w:eastAsiaTheme="minorHAnsi"/>
                <w:lang w:eastAsia="en-US"/>
              </w:rPr>
              <w:t>PDG Summary 2025/2026 £16,949</w:t>
            </w:r>
          </w:p>
          <w:p w:rsidR="00644402" w:rsidRPr="00644402" w:rsidRDefault="00644402" w:rsidP="00644402">
            <w:pPr>
              <w:rPr>
                <w:rFonts w:eastAsiaTheme="minorHAnsi"/>
                <w:lang w:eastAsia="en-US"/>
              </w:rPr>
            </w:pPr>
          </w:p>
        </w:tc>
        <w:tc>
          <w:tcPr>
            <w:tcW w:w="2727" w:type="dxa"/>
            <w:tcBorders>
              <w:top w:val="single" w:sz="6" w:space="0" w:color="000000"/>
              <w:left w:val="nil"/>
              <w:bottom w:val="single" w:sz="6" w:space="0" w:color="000000"/>
              <w:right w:val="single" w:sz="6" w:space="0" w:color="000000"/>
            </w:tcBorders>
            <w:shd w:val="clear" w:color="auto" w:fill="A4C2F4"/>
          </w:tcPr>
          <w:p w:rsidR="00644402" w:rsidRPr="00644402" w:rsidRDefault="00644402" w:rsidP="00644402">
            <w:pPr>
              <w:rPr>
                <w:rFonts w:eastAsiaTheme="minorHAnsi"/>
                <w:lang w:eastAsia="en-US"/>
              </w:rPr>
            </w:pPr>
          </w:p>
        </w:tc>
      </w:tr>
      <w:tr w:rsidR="00644402" w:rsidRPr="00644402" w:rsidTr="00AB0E0E">
        <w:trPr>
          <w:trHeight w:val="379"/>
        </w:trPr>
        <w:tc>
          <w:tcPr>
            <w:tcW w:w="12856" w:type="dxa"/>
            <w:tcBorders>
              <w:top w:val="single" w:sz="6" w:space="0" w:color="000000"/>
              <w:left w:val="single" w:sz="8"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lang w:eastAsia="en-US"/>
              </w:rPr>
            </w:pPr>
            <w:r w:rsidRPr="00644402">
              <w:rPr>
                <w:rFonts w:eastAsiaTheme="minorHAnsi"/>
                <w:b/>
                <w:lang w:eastAsia="en-US"/>
              </w:rPr>
              <w:t xml:space="preserve">Activity </w:t>
            </w:r>
          </w:p>
        </w:tc>
        <w:tc>
          <w:tcPr>
            <w:tcW w:w="2727" w:type="dxa"/>
            <w:tcBorders>
              <w:top w:val="single" w:sz="6" w:space="0" w:color="000000"/>
              <w:left w:val="single" w:sz="6"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lang w:eastAsia="en-US"/>
              </w:rPr>
            </w:pPr>
            <w:r w:rsidRPr="00644402">
              <w:rPr>
                <w:rFonts w:eastAsiaTheme="minorHAnsi"/>
                <w:b/>
                <w:lang w:eastAsia="en-US"/>
              </w:rPr>
              <w:t xml:space="preserve">Expenditure </w:t>
            </w:r>
          </w:p>
        </w:tc>
      </w:tr>
      <w:tr w:rsidR="00644402" w:rsidRPr="00644402" w:rsidTr="00AB0E0E">
        <w:trPr>
          <w:trHeight w:val="379"/>
        </w:trPr>
        <w:tc>
          <w:tcPr>
            <w:tcW w:w="12856" w:type="dxa"/>
            <w:tcBorders>
              <w:top w:val="single" w:sz="6" w:space="0" w:color="000000"/>
              <w:left w:val="single" w:sz="8"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i/>
                <w:iCs/>
                <w:lang w:eastAsia="en-US"/>
              </w:rPr>
            </w:pPr>
            <w:r w:rsidRPr="00644402">
              <w:rPr>
                <w:rFonts w:eastAsiaTheme="minorHAnsi"/>
                <w:b/>
                <w:bCs/>
                <w:lang w:eastAsia="en-US"/>
              </w:rPr>
              <w:t>To employ 1 LSA to support targeted pupils across the school with literacy and numeracy skills through:</w:t>
            </w:r>
          </w:p>
          <w:p w:rsidR="00644402" w:rsidRPr="00644402" w:rsidRDefault="00644402" w:rsidP="00644402">
            <w:pPr>
              <w:numPr>
                <w:ilvl w:val="0"/>
                <w:numId w:val="1"/>
              </w:numPr>
              <w:rPr>
                <w:rFonts w:eastAsiaTheme="minorHAnsi"/>
                <w:lang w:eastAsia="en-US"/>
              </w:rPr>
            </w:pPr>
            <w:r w:rsidRPr="00644402">
              <w:rPr>
                <w:rFonts w:eastAsiaTheme="minorHAnsi"/>
                <w:lang w:eastAsia="en-US"/>
              </w:rPr>
              <w:t>Phonics groups</w:t>
            </w:r>
          </w:p>
          <w:p w:rsidR="00644402" w:rsidRPr="00644402" w:rsidRDefault="00644402" w:rsidP="00644402">
            <w:pPr>
              <w:numPr>
                <w:ilvl w:val="0"/>
                <w:numId w:val="1"/>
              </w:numPr>
              <w:rPr>
                <w:rFonts w:eastAsiaTheme="minorHAnsi"/>
                <w:lang w:eastAsia="en-US"/>
              </w:rPr>
            </w:pPr>
            <w:r w:rsidRPr="00644402">
              <w:rPr>
                <w:rFonts w:eastAsiaTheme="minorHAnsi"/>
                <w:lang w:eastAsia="en-US"/>
              </w:rPr>
              <w:t xml:space="preserve">Big Maths groups </w:t>
            </w:r>
          </w:p>
          <w:p w:rsidR="00644402" w:rsidRPr="00644402" w:rsidRDefault="00644402" w:rsidP="00644402">
            <w:pPr>
              <w:numPr>
                <w:ilvl w:val="0"/>
                <w:numId w:val="1"/>
              </w:numPr>
              <w:rPr>
                <w:rFonts w:eastAsiaTheme="minorHAnsi"/>
                <w:lang w:eastAsia="en-US"/>
              </w:rPr>
            </w:pPr>
            <w:r w:rsidRPr="00644402">
              <w:rPr>
                <w:rFonts w:eastAsiaTheme="minorHAnsi"/>
                <w:lang w:eastAsia="en-US"/>
              </w:rPr>
              <w:t xml:space="preserve">IDP intervention </w:t>
            </w:r>
          </w:p>
          <w:p w:rsidR="00644402" w:rsidRPr="00644402" w:rsidRDefault="00644402" w:rsidP="00644402">
            <w:pPr>
              <w:numPr>
                <w:ilvl w:val="0"/>
                <w:numId w:val="1"/>
              </w:numPr>
              <w:rPr>
                <w:rFonts w:eastAsiaTheme="minorHAnsi"/>
                <w:lang w:eastAsia="en-US"/>
              </w:rPr>
            </w:pPr>
            <w:r w:rsidRPr="00644402">
              <w:rPr>
                <w:rFonts w:eastAsiaTheme="minorHAnsi"/>
                <w:lang w:eastAsia="en-US"/>
              </w:rPr>
              <w:t>In class intervention support</w:t>
            </w:r>
          </w:p>
        </w:tc>
        <w:tc>
          <w:tcPr>
            <w:tcW w:w="2727" w:type="dxa"/>
            <w:tcBorders>
              <w:top w:val="single" w:sz="6" w:space="0" w:color="000000"/>
              <w:left w:val="single" w:sz="6" w:space="0" w:color="000000"/>
              <w:right w:val="single" w:sz="6" w:space="0" w:color="000000"/>
            </w:tcBorders>
            <w:shd w:val="clear" w:color="auto" w:fill="C9DAF8"/>
            <w:vAlign w:val="center"/>
          </w:tcPr>
          <w:p w:rsidR="00644402" w:rsidRPr="00644402" w:rsidRDefault="00644402" w:rsidP="00644402">
            <w:pPr>
              <w:rPr>
                <w:rFonts w:eastAsiaTheme="minorHAnsi"/>
                <w:b/>
                <w:lang w:eastAsia="en-US"/>
              </w:rPr>
            </w:pPr>
          </w:p>
        </w:tc>
      </w:tr>
      <w:tr w:rsidR="00644402" w:rsidRPr="00644402" w:rsidTr="00AB0E0E">
        <w:trPr>
          <w:trHeight w:val="379"/>
        </w:trPr>
        <w:tc>
          <w:tcPr>
            <w:tcW w:w="12856" w:type="dxa"/>
            <w:tcBorders>
              <w:top w:val="single" w:sz="6" w:space="0" w:color="000000"/>
              <w:left w:val="single" w:sz="8"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b/>
                <w:i/>
                <w:iCs/>
                <w:lang w:eastAsia="en-US"/>
              </w:rPr>
            </w:pPr>
            <w:r w:rsidRPr="00644402">
              <w:rPr>
                <w:rFonts w:eastAsiaTheme="minorHAnsi"/>
                <w:b/>
                <w:i/>
                <w:iCs/>
                <w:lang w:eastAsia="en-US"/>
              </w:rPr>
              <w:t xml:space="preserve"> </w:t>
            </w:r>
            <w:r w:rsidRPr="00644402">
              <w:rPr>
                <w:rFonts w:eastAsiaTheme="minorHAnsi"/>
                <w:b/>
                <w:bCs/>
                <w:lang w:eastAsia="en-US"/>
              </w:rPr>
              <w:t>To provide non-contact time for the ALNCO to lead and monitor the effectiveness of:</w:t>
            </w:r>
            <w:r w:rsidRPr="00644402">
              <w:rPr>
                <w:rFonts w:eastAsiaTheme="minorHAnsi"/>
                <w:b/>
                <w:lang w:eastAsia="en-US"/>
              </w:rPr>
              <w:br/>
            </w:r>
            <w:r w:rsidRPr="00644402">
              <w:rPr>
                <w:rFonts w:eastAsiaTheme="minorHAnsi"/>
                <w:b/>
                <w:i/>
                <w:iCs/>
                <w:lang w:eastAsia="en-US"/>
              </w:rPr>
              <w:t>1.      Individual interventions</w:t>
            </w:r>
            <w:r w:rsidRPr="00644402">
              <w:rPr>
                <w:rFonts w:eastAsiaTheme="minorHAnsi"/>
                <w:b/>
                <w:i/>
                <w:lang w:eastAsia="en-US"/>
              </w:rPr>
              <w:br/>
            </w:r>
            <w:r w:rsidRPr="00644402">
              <w:rPr>
                <w:rFonts w:eastAsiaTheme="minorHAnsi"/>
                <w:b/>
                <w:i/>
                <w:iCs/>
                <w:lang w:eastAsia="en-US"/>
              </w:rPr>
              <w:t>2.      PDG grant spending</w:t>
            </w:r>
            <w:r w:rsidRPr="00644402">
              <w:rPr>
                <w:rFonts w:eastAsiaTheme="minorHAnsi"/>
                <w:b/>
                <w:i/>
                <w:lang w:eastAsia="en-US"/>
              </w:rPr>
              <w:br/>
            </w:r>
            <w:r w:rsidRPr="00644402">
              <w:rPr>
                <w:rFonts w:eastAsiaTheme="minorHAnsi"/>
                <w:b/>
                <w:i/>
                <w:iCs/>
                <w:lang w:eastAsia="en-US"/>
              </w:rPr>
              <w:t>3.      Pupil progress</w:t>
            </w:r>
            <w:r w:rsidRPr="00644402">
              <w:rPr>
                <w:rFonts w:eastAsiaTheme="minorHAnsi"/>
                <w:b/>
                <w:i/>
                <w:lang w:eastAsia="en-US"/>
              </w:rPr>
              <w:br/>
            </w:r>
            <w:r w:rsidRPr="00644402">
              <w:rPr>
                <w:rFonts w:eastAsiaTheme="minorHAnsi"/>
                <w:b/>
                <w:i/>
                <w:iCs/>
                <w:lang w:eastAsia="en-US"/>
              </w:rPr>
              <w:t xml:space="preserve">4.      IEP/IDP Reviews and </w:t>
            </w:r>
            <w:proofErr w:type="gramStart"/>
            <w:r w:rsidRPr="00644402">
              <w:rPr>
                <w:rFonts w:eastAsiaTheme="minorHAnsi"/>
                <w:b/>
                <w:i/>
                <w:iCs/>
                <w:lang w:eastAsia="en-US"/>
              </w:rPr>
              <w:t>Person Centred</w:t>
            </w:r>
            <w:proofErr w:type="gramEnd"/>
            <w:r w:rsidRPr="00644402">
              <w:rPr>
                <w:rFonts w:eastAsiaTheme="minorHAnsi"/>
                <w:b/>
                <w:i/>
                <w:iCs/>
                <w:lang w:eastAsia="en-US"/>
              </w:rPr>
              <w:t xml:space="preserve"> Planning</w:t>
            </w:r>
          </w:p>
        </w:tc>
        <w:tc>
          <w:tcPr>
            <w:tcW w:w="2727" w:type="dxa"/>
            <w:tcBorders>
              <w:left w:val="single" w:sz="6" w:space="0" w:color="000000"/>
              <w:right w:val="single" w:sz="6" w:space="0" w:color="000000"/>
            </w:tcBorders>
            <w:shd w:val="clear" w:color="auto" w:fill="C9DAF8"/>
            <w:vAlign w:val="center"/>
          </w:tcPr>
          <w:p w:rsidR="00644402" w:rsidRPr="00644402" w:rsidRDefault="00644402" w:rsidP="00644402">
            <w:pPr>
              <w:rPr>
                <w:rFonts w:eastAsiaTheme="minorHAnsi"/>
                <w:b/>
                <w:lang w:eastAsia="en-US"/>
              </w:rPr>
            </w:pPr>
            <w:r w:rsidRPr="00644402">
              <w:rPr>
                <w:rFonts w:eastAsiaTheme="minorHAnsi"/>
                <w:b/>
                <w:lang w:eastAsia="en-US"/>
              </w:rPr>
              <w:t>£14,000</w:t>
            </w:r>
          </w:p>
        </w:tc>
      </w:tr>
      <w:tr w:rsidR="00644402" w:rsidRPr="00644402" w:rsidTr="00AB0E0E">
        <w:trPr>
          <w:trHeight w:val="379"/>
        </w:trPr>
        <w:tc>
          <w:tcPr>
            <w:tcW w:w="12856" w:type="dxa"/>
            <w:tcBorders>
              <w:top w:val="single" w:sz="6" w:space="0" w:color="000000"/>
              <w:left w:val="single" w:sz="8"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bCs/>
                <w:iCs/>
                <w:lang w:eastAsia="en-US"/>
              </w:rPr>
            </w:pPr>
            <w:r w:rsidRPr="00644402">
              <w:rPr>
                <w:rFonts w:eastAsiaTheme="minorHAnsi"/>
                <w:bCs/>
                <w:iCs/>
                <w:lang w:eastAsia="en-US"/>
              </w:rPr>
              <w:t>Employ 2 LSAs to develop the emotional wellbeing of pupils through running:</w:t>
            </w:r>
          </w:p>
          <w:p w:rsidR="00644402" w:rsidRPr="00644402" w:rsidRDefault="00644402" w:rsidP="00644402">
            <w:pPr>
              <w:numPr>
                <w:ilvl w:val="0"/>
                <w:numId w:val="2"/>
              </w:numPr>
              <w:rPr>
                <w:rFonts w:eastAsiaTheme="minorHAnsi"/>
                <w:iCs/>
                <w:lang w:eastAsia="en-US"/>
              </w:rPr>
            </w:pPr>
            <w:r w:rsidRPr="00644402">
              <w:rPr>
                <w:rFonts w:eastAsiaTheme="minorHAnsi"/>
                <w:iCs/>
                <w:lang w:eastAsia="en-US"/>
              </w:rPr>
              <w:t>An emotional support group for pupils who need support with their social and emotional wellbeing from September 2025- July 2026</w:t>
            </w:r>
          </w:p>
          <w:p w:rsidR="00644402" w:rsidRPr="00644402" w:rsidRDefault="00644402" w:rsidP="00644402">
            <w:pPr>
              <w:numPr>
                <w:ilvl w:val="0"/>
                <w:numId w:val="2"/>
              </w:numPr>
              <w:rPr>
                <w:rFonts w:eastAsiaTheme="minorHAnsi"/>
                <w:iCs/>
                <w:lang w:eastAsia="en-US"/>
              </w:rPr>
            </w:pPr>
            <w:r w:rsidRPr="00644402">
              <w:rPr>
                <w:rFonts w:eastAsiaTheme="minorHAnsi"/>
                <w:iCs/>
                <w:lang w:eastAsia="en-US"/>
              </w:rPr>
              <w:t>ELSA to support the emotional literacy of our most vulnerable pupils</w:t>
            </w:r>
          </w:p>
          <w:p w:rsidR="00644402" w:rsidRPr="00644402" w:rsidRDefault="00644402" w:rsidP="00644402">
            <w:pPr>
              <w:rPr>
                <w:rFonts w:eastAsiaTheme="minorHAnsi"/>
                <w:iCs/>
                <w:lang w:eastAsia="en-US"/>
              </w:rPr>
            </w:pPr>
            <w:r w:rsidRPr="00644402">
              <w:rPr>
                <w:rFonts w:eastAsiaTheme="minorHAnsi"/>
                <w:iCs/>
                <w:lang w:eastAsia="en-US"/>
              </w:rPr>
              <w:t xml:space="preserve">Individual daily wellbeing 1:1 </w:t>
            </w:r>
            <w:proofErr w:type="gramStart"/>
            <w:r w:rsidRPr="00644402">
              <w:rPr>
                <w:rFonts w:eastAsiaTheme="minorHAnsi"/>
                <w:iCs/>
                <w:lang w:eastAsia="en-US"/>
              </w:rPr>
              <w:t>sessions</w:t>
            </w:r>
            <w:proofErr w:type="gramEnd"/>
            <w:r w:rsidRPr="00644402">
              <w:rPr>
                <w:rFonts w:eastAsiaTheme="minorHAnsi"/>
                <w:iCs/>
                <w:lang w:eastAsia="en-US"/>
              </w:rPr>
              <w:t xml:space="preserve"> with specific pupils if required.</w:t>
            </w:r>
          </w:p>
        </w:tc>
        <w:tc>
          <w:tcPr>
            <w:tcW w:w="2727" w:type="dxa"/>
            <w:tcBorders>
              <w:left w:val="single" w:sz="6"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b/>
                <w:lang w:eastAsia="en-US"/>
              </w:rPr>
            </w:pPr>
          </w:p>
        </w:tc>
      </w:tr>
      <w:tr w:rsidR="00644402" w:rsidRPr="00644402" w:rsidTr="00AB0E0E">
        <w:trPr>
          <w:trHeight w:val="379"/>
        </w:trPr>
        <w:tc>
          <w:tcPr>
            <w:tcW w:w="12856" w:type="dxa"/>
            <w:tcBorders>
              <w:top w:val="single" w:sz="6" w:space="0" w:color="000000"/>
              <w:left w:val="single" w:sz="8"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lang w:eastAsia="en-US"/>
              </w:rPr>
            </w:pPr>
            <w:r w:rsidRPr="00644402">
              <w:rPr>
                <w:rFonts w:eastAsiaTheme="minorHAnsi"/>
                <w:lang w:eastAsia="en-US"/>
              </w:rPr>
              <w:t xml:space="preserve">Training sessions for staff in areas identified in the SIP of the school e.g. pedagogy, higher order reading skills, questioning, </w:t>
            </w:r>
          </w:p>
          <w:p w:rsidR="00644402" w:rsidRPr="00644402" w:rsidRDefault="00644402" w:rsidP="00644402">
            <w:pPr>
              <w:rPr>
                <w:rFonts w:eastAsiaTheme="minorHAnsi"/>
                <w:lang w:eastAsia="en-US"/>
              </w:rPr>
            </w:pPr>
            <w:r w:rsidRPr="00644402">
              <w:rPr>
                <w:rFonts w:eastAsiaTheme="minorHAnsi"/>
                <w:lang w:eastAsia="en-US"/>
              </w:rPr>
              <w:t>This will be delivered to the whole staff group during Inset training.</w:t>
            </w:r>
          </w:p>
          <w:p w:rsidR="00644402" w:rsidRPr="00644402" w:rsidRDefault="00644402" w:rsidP="00644402">
            <w:pPr>
              <w:rPr>
                <w:rFonts w:eastAsiaTheme="minorHAnsi"/>
                <w:lang w:eastAsia="en-US"/>
              </w:rPr>
            </w:pPr>
            <w:r w:rsidRPr="00644402">
              <w:rPr>
                <w:rFonts w:eastAsiaTheme="minorHAnsi"/>
                <w:lang w:eastAsia="en-US"/>
              </w:rPr>
              <w:t xml:space="preserve">This action will impact directly on teacher/ support staff professional development which in turn will impact directly on pupil standards and attainment. Impact on literacy and numeracy standards and attainment will be measured by teacher assessment and reading ages tracking documentation. </w:t>
            </w:r>
          </w:p>
        </w:tc>
        <w:tc>
          <w:tcPr>
            <w:tcW w:w="2727" w:type="dxa"/>
            <w:tcBorders>
              <w:top w:val="single" w:sz="6" w:space="0" w:color="000000"/>
              <w:left w:val="single" w:sz="6" w:space="0" w:color="000000"/>
              <w:bottom w:val="single" w:sz="6" w:space="0" w:color="000000"/>
              <w:right w:val="single" w:sz="6" w:space="0" w:color="000000"/>
            </w:tcBorders>
            <w:shd w:val="clear" w:color="auto" w:fill="C9DAF8"/>
            <w:vAlign w:val="center"/>
          </w:tcPr>
          <w:p w:rsidR="00644402" w:rsidRPr="00644402" w:rsidRDefault="00644402" w:rsidP="00644402">
            <w:pPr>
              <w:rPr>
                <w:rFonts w:eastAsiaTheme="minorHAnsi"/>
                <w:b/>
                <w:lang w:eastAsia="en-US"/>
              </w:rPr>
            </w:pPr>
            <w:r w:rsidRPr="00644402">
              <w:rPr>
                <w:rFonts w:eastAsiaTheme="minorHAnsi"/>
                <w:b/>
                <w:lang w:eastAsia="en-US"/>
              </w:rPr>
              <w:t>£2,949</w:t>
            </w:r>
          </w:p>
        </w:tc>
      </w:tr>
    </w:tbl>
    <w:p w:rsidR="00582BB0" w:rsidRDefault="00582BB0"/>
    <w:sectPr w:rsidR="00582BB0" w:rsidSect="0064440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CE2" w:rsidRDefault="00215CE2" w:rsidP="00644402">
      <w:r>
        <w:separator/>
      </w:r>
    </w:p>
  </w:endnote>
  <w:endnote w:type="continuationSeparator" w:id="0">
    <w:p w:rsidR="00215CE2" w:rsidRDefault="00215CE2" w:rsidP="0064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CE2" w:rsidRDefault="00215CE2" w:rsidP="00644402">
      <w:r>
        <w:separator/>
      </w:r>
    </w:p>
  </w:footnote>
  <w:footnote w:type="continuationSeparator" w:id="0">
    <w:p w:rsidR="00215CE2" w:rsidRDefault="00215CE2" w:rsidP="0064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402" w:rsidRPr="00644402" w:rsidRDefault="00644402" w:rsidP="00644402">
    <w:r w:rsidRPr="00644402">
      <w:t>Appendix 1:  Summary of spending/grants to support the SIP</w:t>
    </w:r>
    <w:r w:rsidRPr="00644402">
      <w:tab/>
    </w:r>
    <w:r w:rsidRPr="00644402">
      <w:tab/>
    </w:r>
    <w:r w:rsidRPr="00644402">
      <w:tab/>
    </w:r>
  </w:p>
  <w:p w:rsidR="00644402" w:rsidRPr="00644402" w:rsidRDefault="00644402" w:rsidP="0064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E7708"/>
    <w:multiLevelType w:val="hybridMultilevel"/>
    <w:tmpl w:val="1B4C9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BD52A9"/>
    <w:multiLevelType w:val="hybridMultilevel"/>
    <w:tmpl w:val="E208C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02"/>
    <w:rsid w:val="00215CE2"/>
    <w:rsid w:val="00582BB0"/>
    <w:rsid w:val="00644402"/>
    <w:rsid w:val="00767AB3"/>
    <w:rsid w:val="00F6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975B4-D9B2-4103-9A1E-66DD6F6F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4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uiPriority w:val="34"/>
    <w:qFormat/>
    <w:rsid w:val="00644402"/>
    <w:pPr>
      <w:ind w:left="720"/>
      <w:contextualSpacing/>
    </w:pPr>
  </w:style>
  <w:style w:type="table" w:customStyle="1" w:styleId="TableGrid">
    <w:name w:val="TableGrid"/>
    <w:rsid w:val="00644402"/>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uiPriority w:val="22"/>
    <w:qFormat/>
    <w:rsid w:val="00644402"/>
    <w:rPr>
      <w:b/>
      <w:bCs/>
    </w:rPr>
  </w:style>
  <w:style w:type="character" w:styleId="Emphasis">
    <w:name w:val="Emphasis"/>
    <w:uiPriority w:val="20"/>
    <w:qFormat/>
    <w:rsid w:val="00644402"/>
    <w:rPr>
      <w:i/>
      <w:iC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644402"/>
  </w:style>
  <w:style w:type="paragraph" w:styleId="Header">
    <w:name w:val="header"/>
    <w:basedOn w:val="Normal"/>
    <w:link w:val="HeaderChar"/>
    <w:uiPriority w:val="99"/>
    <w:unhideWhenUsed/>
    <w:rsid w:val="00644402"/>
    <w:pPr>
      <w:tabs>
        <w:tab w:val="center" w:pos="4513"/>
        <w:tab w:val="right" w:pos="9026"/>
      </w:tabs>
    </w:pPr>
  </w:style>
  <w:style w:type="character" w:customStyle="1" w:styleId="HeaderChar">
    <w:name w:val="Header Char"/>
    <w:basedOn w:val="DefaultParagraphFont"/>
    <w:link w:val="Header"/>
    <w:uiPriority w:val="99"/>
    <w:rsid w:val="00644402"/>
  </w:style>
  <w:style w:type="paragraph" w:styleId="Footer">
    <w:name w:val="footer"/>
    <w:basedOn w:val="Normal"/>
    <w:link w:val="FooterChar"/>
    <w:uiPriority w:val="99"/>
    <w:unhideWhenUsed/>
    <w:rsid w:val="00644402"/>
    <w:pPr>
      <w:tabs>
        <w:tab w:val="center" w:pos="4513"/>
        <w:tab w:val="right" w:pos="9026"/>
      </w:tabs>
    </w:pPr>
  </w:style>
  <w:style w:type="character" w:customStyle="1" w:styleId="FooterChar">
    <w:name w:val="Footer Char"/>
    <w:basedOn w:val="DefaultParagraphFont"/>
    <w:link w:val="Footer"/>
    <w:uiPriority w:val="99"/>
    <w:rsid w:val="0064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Rhys NXX</dc:creator>
  <cp:keywords/>
  <dc:description/>
  <cp:lastModifiedBy>Jones, Rhys NXX</cp:lastModifiedBy>
  <cp:revision>2</cp:revision>
  <dcterms:created xsi:type="dcterms:W3CDTF">2026-01-07T13:46:00Z</dcterms:created>
  <dcterms:modified xsi:type="dcterms:W3CDTF">2026-01-07T13:46:00Z</dcterms:modified>
</cp:coreProperties>
</file>